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ff6600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4"/>
          <w:szCs w:val="3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809626</wp:posOffset>
                </wp:positionH>
                <wp:positionV relativeFrom="page">
                  <wp:posOffset>1308570</wp:posOffset>
                </wp:positionV>
                <wp:extent cx="2369185" cy="400050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44950" y="3602250"/>
                          <a:ext cx="2402100" cy="35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Para mayor información, contactar 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809626</wp:posOffset>
                </wp:positionH>
                <wp:positionV relativeFrom="page">
                  <wp:posOffset>1308570</wp:posOffset>
                </wp:positionV>
                <wp:extent cx="2369185" cy="400050"/>
                <wp:effectExtent b="0" l="0" r="0" t="0"/>
                <wp:wrapSquare wrapText="bothSides" distB="0" distT="0" distL="114300" distR="114300"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18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4"/>
          <w:szCs w:val="3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809626</wp:posOffset>
                </wp:positionH>
                <wp:positionV relativeFrom="page">
                  <wp:posOffset>1513839</wp:posOffset>
                </wp:positionV>
                <wp:extent cx="2874010" cy="1408464"/>
                <wp:effectExtent b="0" l="0" r="0" t="0"/>
                <wp:wrapSquare wrapText="bothSides" distB="0" distT="0" distL="114300" distR="11430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28045" y="3094200"/>
                          <a:ext cx="28359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Media Relations: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Juan José Espinoza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Sr. Marketing Manager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Fiserv en América Latina Norte (LAN)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+52 55 3433 6572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2"/>
                                <w:u w:val="single"/>
                                <w:vertAlign w:val="baseline"/>
                              </w:rPr>
                              <w:t xml:space="preserve">juan.espinozaaguilar@fiserv.com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809626</wp:posOffset>
                </wp:positionH>
                <wp:positionV relativeFrom="page">
                  <wp:posOffset>1513839</wp:posOffset>
                </wp:positionV>
                <wp:extent cx="2874010" cy="1408464"/>
                <wp:effectExtent b="0" l="0" r="0" t="0"/>
                <wp:wrapSquare wrapText="bothSides" distB="0" distT="0" distL="114300" distR="114300"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4010" cy="14084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4"/>
          <w:szCs w:val="3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4010026</wp:posOffset>
                </wp:positionH>
                <wp:positionV relativeFrom="page">
                  <wp:posOffset>1513839</wp:posOffset>
                </wp:positionV>
                <wp:extent cx="2872740" cy="1407846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8680" y="3094200"/>
                          <a:ext cx="28346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Additional Contact: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Andrea González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 Executive Sr.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Another para Fiserv (LAN)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+52 55 9106 8180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0"/>
                                <w:u w:val="single"/>
                                <w:vertAlign w:val="baseline"/>
                              </w:rPr>
                              <w:t xml:space="preserve">andrea.gonzalez@another.co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4010026</wp:posOffset>
                </wp:positionH>
                <wp:positionV relativeFrom="page">
                  <wp:posOffset>1513839</wp:posOffset>
                </wp:positionV>
                <wp:extent cx="2872740" cy="1407846"/>
                <wp:effectExtent b="0" l="0" r="0" t="0"/>
                <wp:wrapSquare wrapText="bothSides" distB="0" distT="0" distL="114300" distR="114300"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740" cy="1407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color w:val="ff66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Borrador – Para distribución inmediata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40400" cy="381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40400" cy="38100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¿El ocaso de las tiendas físicas? 3 de cada 4 mexicanos ya compra en línea </w:t>
      </w:r>
    </w:p>
    <w:p w:rsidR="00000000" w:rsidDel="00000000" w:rsidP="00000000" w:rsidRDefault="00000000" w:rsidRPr="00000000" w14:paraId="00000008">
      <w:pPr>
        <w:jc w:val="both"/>
        <w:rPr>
          <w:i w:val="1"/>
          <w:color w:val="66666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MÉXICO, 18 de octubre de 2023 – 80% de los mexicanos tiene una experiencia positiva en sus compras en línea, </w:t>
      </w:r>
      <w:r w:rsidDel="00000000" w:rsidR="00000000" w:rsidRPr="00000000">
        <w:rPr>
          <w:rtl w:val="0"/>
        </w:rPr>
        <w:t xml:space="preserve">según revela un estudio generado por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Fiserv, Inc.</w:t>
        </w:r>
      </w:hyperlink>
      <w:r w:rsidDel="00000000" w:rsidR="00000000" w:rsidRPr="00000000">
        <w:rPr>
          <w:rtl w:val="0"/>
        </w:rPr>
        <w:t xml:space="preserve"> (NYSE: FI) proveedor líder mundial de pagos y tecnología financiera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Esta tendencia se respalda aún más por el hecho de que el 75% de los participantes ya son compradores frecuentes en plataformas digitales, y un notable 40% planea mantener su ritmo actual de compras en línea.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estudio, titulado “</w:t>
      </w:r>
      <w:r w:rsidDel="00000000" w:rsidR="00000000" w:rsidRPr="00000000">
        <w:rPr>
          <w:b w:val="1"/>
          <w:i w:val="1"/>
          <w:rtl w:val="0"/>
        </w:rPr>
        <w:t xml:space="preserve">Números que Hablan</w:t>
      </w:r>
      <w:r w:rsidDel="00000000" w:rsidR="00000000" w:rsidRPr="00000000">
        <w:rPr>
          <w:b w:val="1"/>
          <w:rtl w:val="0"/>
        </w:rPr>
        <w:t xml:space="preserve">” </w:t>
      </w:r>
      <w:r w:rsidDel="00000000" w:rsidR="00000000" w:rsidRPr="00000000">
        <w:rPr>
          <w:rtl w:val="0"/>
        </w:rPr>
        <w:t xml:space="preserve">edición México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destaca una serie de hallazgos significativos que pintan un panorama emocionante sobre las prácticas de compra en línea, banca móvil, compras a Meses Sin Intereses y uso de billeteras digitales en el mercado mexicano. Algunas cifras destacadas son: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rtl w:val="0"/>
        </w:rPr>
        <w:t xml:space="preserve">Preferencias y frecuencia de compra en el e-commerce mexicano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Las principales preferencias de compras en comercio electrónico se dividen en: entretenimiento (43%), cursos (37%), aparatos electrónicos (34%), ropa (29%), y electrodomésticos (28%).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82% de los usuarios ha tenido una buena experiencia de compra en línea.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 de cada 10 realizan todo el proceso de compra de manera digital, desde la elección hasta el pago mediante un canal de pago en línea.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Mirando hacia el futuro, se anticipa un escenario prometedor para el comercio electrónico, con el 29% de los encuestados planeando incrementar su actividad de compra en línea durante los próximos 12 meses.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i w:val="1"/>
          <w:rtl w:val="0"/>
        </w:rPr>
        <w:t xml:space="preserve">Números que hablan</w:t>
      </w:r>
      <w:r w:rsidDel="00000000" w:rsidR="00000000" w:rsidRPr="00000000">
        <w:rPr>
          <w:b w:val="1"/>
          <w:rtl w:val="0"/>
        </w:rPr>
        <w:t xml:space="preserve">” </w:t>
      </w:r>
      <w:r w:rsidDel="00000000" w:rsidR="00000000" w:rsidRPr="00000000">
        <w:rPr>
          <w:rtl w:val="0"/>
        </w:rPr>
        <w:t xml:space="preserve">edición México,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 un estudio de </w:t>
      </w:r>
      <w:r w:rsidDel="00000000" w:rsidR="00000000" w:rsidRPr="00000000">
        <w:rPr>
          <w:b w:val="1"/>
          <w:rtl w:val="0"/>
        </w:rPr>
        <w:t xml:space="preserve">Fiserv</w:t>
      </w:r>
      <w:r w:rsidDel="00000000" w:rsidR="00000000" w:rsidRPr="00000000">
        <w:rPr>
          <w:rtl w:val="0"/>
        </w:rPr>
        <w:t xml:space="preserve">, la compañía con más de 35 años de experiencia en el mercado, sobre el comportamiento de los usuarios ante productos, medios de pago y tecnología financiera. Es el primer año que esta investigación se realiza en México, abarca temas como medios y canales de pago físicos y digitales.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En cuanto a banca móvil y billeteras digitales, el estudio revela lo siguiente: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rtl w:val="0"/>
        </w:rPr>
        <w:t xml:space="preserve">Uso de billeteras digitales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El 16% de los usuarios reportó usar billeteras digitales.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El 68% de su uso es para hacer pagos sin necesidad de utilizar efectivo o tarjetas y para realizar transferencias electrónicas. Además, tienen mayor presencia dentro de las generaciones jóvenes.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Destaca su uso para adquirir artículos de primera necesidad o de uso cotidiano en rubros como: supermercados (52%), electrónica (45%), ropa (45%) zapatillas y calzado (27%) y farmacia y perfumería (26%).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 de cada 10 la ocupan cada vez que está disponible en un establecimiento o de manera frecuente dentro de sus actividades cotidianas. 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rtl w:val="0"/>
        </w:rPr>
        <w:t xml:space="preserve">Banca móvil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La banca móvil ofrece una vida financiera cercana y con una fácil gestión del dinero, por lo que 9 de cada 10 clientes bancarios realizan sus operaciones por esta vía.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 de cada 10 prefieren que sus servicios sean resueltos de forma virtual en lugar de presentarse físicamente a una sucursal.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68% de los encuestados se encuentra muy satisfecho y recomienda esta modalidad bancaria.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datos resaltan la creciente adopción de la banca móvil en las prácticas financieras. Las actividades administrativas y de pagos son las más utilizadas en la banca son: checar movimientos (75%), realizar pagos de servicios (60%), consultar un estado de cuenta (54%) o realizar retiros de efectivo (43%).</w:t>
      </w:r>
    </w:p>
    <w:p w:rsidR="00000000" w:rsidDel="00000000" w:rsidP="00000000" w:rsidRDefault="00000000" w:rsidRPr="00000000" w14:paraId="0000002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Meses sin Intereses </w:t>
      </w:r>
    </w:p>
    <w:p w:rsidR="00000000" w:rsidDel="00000000" w:rsidP="00000000" w:rsidRDefault="00000000" w:rsidRPr="00000000" w14:paraId="00000028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Dos de cada tres personas utilizan MSI gracias a sus tarjetas de crédito. Los plazos de MSI preferidos, siendo 3 meses (14%), seis meses (32%) y 12 meses (32%). 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Basado en un riguroso análisis cualitativo y cuantitativo que abarcó a 600 participantes entre hombres y mujeres de 18 a 60 años, el estudio tiene como objetivo ofrecer información relevante para apoyar a los tomadores de decisiones a entender el comportamiento y hábitos de los usuarios.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Fiserv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Fiserv, Inc. (NYSE: FI), una empresa incluida en la lista Fortune 500, aspira a mover el dinero y la información de una forma que también se mueve el mundo. Como líder mundial en pagos y tecnología financiera, la empresa ayuda a sus clientes a obtener los mejores resultados a través de un compromiso con la innovación y la excelencia en áreas que incluyen soluciones de procesamiento de cuentas y banca digital; procesamiento de emisión de tarjetas y servicios de red, pagos, comercio electrónico, procesamiento adquirente para comerciantes y la plataforma de gestión de puntos de venta y negocios basada en la nube Clover®. Fiserv es miembro del índice S&amp;P 500® y también forma parte de una de las Fortune® World's Most Admired Companies™. Visite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fiserv.com</w:t>
        </w:r>
      </w:hyperlink>
      <w:r w:rsidDel="00000000" w:rsidR="00000000" w:rsidRPr="00000000">
        <w:rPr>
          <w:rtl w:val="0"/>
        </w:rPr>
        <w:t xml:space="preserve"> y síguenos en las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redes sociales</w:t>
        </w:r>
      </w:hyperlink>
      <w:r w:rsidDel="00000000" w:rsidR="00000000" w:rsidRPr="00000000">
        <w:rPr>
          <w:rtl w:val="0"/>
        </w:rPr>
        <w:t xml:space="preserve"> para obtener más información y las noticias más recientes de la compañía.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   #   #</w:t>
      </w: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419"/>
        <w:tab w:val="right" w:leader="none" w:pos="8838"/>
        <w:tab w:val="left" w:leader="none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4838700</wp:posOffset>
          </wp:positionH>
          <wp:positionV relativeFrom="paragraph">
            <wp:posOffset>-114296</wp:posOffset>
          </wp:positionV>
          <wp:extent cx="1168400" cy="594995"/>
          <wp:effectExtent b="0" l="0" r="0" t="0"/>
          <wp:wrapNone/>
          <wp:docPr descr="fiserv_logo_orange_rgb" id="32" name="image1.jpg"/>
          <a:graphic>
            <a:graphicData uri="http://schemas.openxmlformats.org/drawingml/2006/picture">
              <pic:pic>
                <pic:nvPicPr>
                  <pic:cNvPr descr="fiserv_logo_orange_rgb" id="0" name="image1.jpg"/>
                  <pic:cNvPicPr preferRelativeResize="0"/>
                </pic:nvPicPr>
                <pic:blipFill>
                  <a:blip r:embed="rId1"/>
                  <a:srcRect b="14772" l="9035" r="9759" t="19887"/>
                  <a:stretch>
                    <a:fillRect/>
                  </a:stretch>
                </pic:blipFill>
                <pic:spPr>
                  <a:xfrm>
                    <a:off x="0" y="0"/>
                    <a:ext cx="1168400" cy="594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sz w:val="18"/>
        <w:szCs w:val="18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904876</wp:posOffset>
              </wp:positionH>
              <wp:positionV relativeFrom="page">
                <wp:posOffset>803744</wp:posOffset>
              </wp:positionV>
              <wp:extent cx="3181690" cy="509428"/>
              <wp:effectExtent b="0" l="0" r="0" t="0"/>
              <wp:wrapSquare wrapText="bothSides" distB="0" distT="0" distL="114300" distR="114300"/>
              <wp:docPr id="3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661650" y="3518400"/>
                        <a:ext cx="3368700" cy="5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Fact sheet - 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Para distribución inmediata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904876</wp:posOffset>
              </wp:positionH>
              <wp:positionV relativeFrom="page">
                <wp:posOffset>803744</wp:posOffset>
              </wp:positionV>
              <wp:extent cx="3181690" cy="509428"/>
              <wp:effectExtent b="0" l="0" r="0" t="0"/>
              <wp:wrapSquare wrapText="bothSides" distB="0" distT="0" distL="114300" distR="114300"/>
              <wp:docPr id="3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690" cy="5094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n">
    <w:name w:val="Revision"/>
    <w:hidden w:val="1"/>
    <w:uiPriority w:val="99"/>
    <w:semiHidden w:val="1"/>
    <w:rsid w:val="00AB27B3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B27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B27B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B27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B27B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B27B3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0C6E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iserv.com" TargetMode="External"/><Relationship Id="rId10" Type="http://schemas.openxmlformats.org/officeDocument/2006/relationships/image" Target="media/image4.png"/><Relationship Id="rId13" Type="http://schemas.openxmlformats.org/officeDocument/2006/relationships/hyperlink" Target="https://www.fiserv.com" TargetMode="External"/><Relationship Id="rId12" Type="http://schemas.openxmlformats.org/officeDocument/2006/relationships/hyperlink" Target="https://www.fiserv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PK+eaEmuO/uQmAIPv48z79MOA==">CgMxLjA4AHIhMWNzd2EzLUY2bW8xd2w5alhmY3U1ajhnbzJsel9MUWJ2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2023-09-28T04:08:00Z</dcterms:created>
</cp:coreProperties>
</file>